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2B278" w14:textId="47FC1C75" w:rsidR="00632F7F" w:rsidRPr="00632F7F" w:rsidRDefault="00632F7F" w:rsidP="00632F7F">
      <w:pPr>
        <w:spacing w:after="0" w:line="480" w:lineRule="atLeast"/>
        <w:rPr>
          <w:rFonts w:ascii="GT Walsheim Pro Regular" w:eastAsia="Times New Roman" w:hAnsi="GT Walsheim Pro Regular" w:cs="Arial"/>
          <w:b/>
          <w:bCs/>
          <w:color w:val="000000"/>
          <w:kern w:val="0"/>
          <w:sz w:val="39"/>
          <w:szCs w:val="39"/>
          <w14:ligatures w14:val="none"/>
        </w:rPr>
      </w:pPr>
      <w:r w:rsidRPr="00632F7F">
        <w:rPr>
          <w:rFonts w:ascii="GT Walsheim Pro Regular" w:eastAsia="Times New Roman" w:hAnsi="GT Walsheim Pro Regular" w:cs="Arial"/>
          <w:b/>
          <w:bCs/>
          <w:color w:val="000000"/>
          <w:kern w:val="0"/>
          <w:sz w:val="39"/>
          <w:szCs w:val="39"/>
          <w14:ligatures w14:val="none"/>
        </w:rPr>
        <w:t>Marie-H</w:t>
      </w:r>
      <w:r w:rsidRPr="00632F7F">
        <w:rPr>
          <w:rFonts w:ascii="GT Walsheim Pro Regular" w:eastAsia="Times New Roman" w:hAnsi="GT Walsheim Pro Regular" w:cs="Arial"/>
          <w:b/>
          <w:bCs/>
          <w:color w:val="000000"/>
          <w:kern w:val="0"/>
          <w:sz w:val="39"/>
          <w:szCs w:val="39"/>
          <w14:ligatures w14:val="none"/>
        </w:rPr>
        <w:t>é</w:t>
      </w:r>
      <w:r w:rsidRPr="00632F7F">
        <w:rPr>
          <w:rFonts w:ascii="GT Walsheim Pro Regular" w:eastAsia="Times New Roman" w:hAnsi="GT Walsheim Pro Regular" w:cs="Arial"/>
          <w:b/>
          <w:bCs/>
          <w:color w:val="000000"/>
          <w:kern w:val="0"/>
          <w:sz w:val="39"/>
          <w:szCs w:val="39"/>
          <w14:ligatures w14:val="none"/>
        </w:rPr>
        <w:t>l</w:t>
      </w:r>
      <w:r w:rsidRPr="00632F7F">
        <w:rPr>
          <w:rFonts w:ascii="GT Walsheim Pro Regular" w:eastAsia="Times New Roman" w:hAnsi="GT Walsheim Pro Regular" w:cs="Arial"/>
          <w:b/>
          <w:bCs/>
          <w:color w:val="000000"/>
          <w:kern w:val="0"/>
          <w:sz w:val="39"/>
          <w:szCs w:val="39"/>
          <w14:ligatures w14:val="none"/>
        </w:rPr>
        <w:t>è</w:t>
      </w:r>
      <w:r w:rsidRPr="00632F7F">
        <w:rPr>
          <w:rFonts w:ascii="GT Walsheim Pro Regular" w:eastAsia="Times New Roman" w:hAnsi="GT Walsheim Pro Regular" w:cs="Arial"/>
          <w:b/>
          <w:bCs/>
          <w:color w:val="000000"/>
          <w:kern w:val="0"/>
          <w:sz w:val="39"/>
          <w:szCs w:val="39"/>
          <w14:ligatures w14:val="none"/>
        </w:rPr>
        <w:t>ne Fournier</w:t>
      </w:r>
    </w:p>
    <w:p w14:paraId="56256030" w14:textId="77777777" w:rsidR="00632F7F" w:rsidRPr="00632F7F" w:rsidRDefault="00632F7F" w:rsidP="00632F7F">
      <w:pPr>
        <w:spacing w:after="0" w:line="450" w:lineRule="atLeast"/>
        <w:rPr>
          <w:rFonts w:ascii="GT Walsheim Pro Regular" w:eastAsia="Times New Roman" w:hAnsi="GT Walsheim Pro Regular" w:cs="Arial"/>
          <w:b/>
          <w:bCs/>
          <w:color w:val="0070E0"/>
          <w:kern w:val="0"/>
          <w:sz w:val="33"/>
          <w:szCs w:val="33"/>
          <w14:ligatures w14:val="none"/>
        </w:rPr>
      </w:pPr>
      <w:r w:rsidRPr="00632F7F">
        <w:rPr>
          <w:rFonts w:ascii="GT Walsheim Pro Regular" w:eastAsia="Times New Roman" w:hAnsi="GT Walsheim Pro Regular" w:cs="Arial"/>
          <w:b/>
          <w:bCs/>
          <w:color w:val="0070E0"/>
          <w:kern w:val="0"/>
          <w:sz w:val="33"/>
          <w:szCs w:val="33"/>
          <w14:ligatures w14:val="none"/>
        </w:rPr>
        <w:t>VP of Mergers &amp; Acquisitions, Human Resources, and Investor Relations</w:t>
      </w:r>
    </w:p>
    <w:p w14:paraId="72E7ECEC"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32F7F">
        <w:rPr>
          <w:rFonts w:ascii="GT Walsheim Pro Regular" w:eastAsia="Times New Roman" w:hAnsi="GT Walsheim Pro Regular" w:cs="Times New Roman"/>
          <w:color w:val="000000"/>
          <w:kern w:val="0"/>
          <w14:ligatures w14:val="none"/>
        </w:rPr>
        <w:t xml:space="preserve">Marie-Helene Fournier started her professional career at Stingray in </w:t>
      </w:r>
      <w:proofErr w:type="gramStart"/>
      <w:r w:rsidRPr="00632F7F">
        <w:rPr>
          <w:rFonts w:ascii="GT Walsheim Pro Regular" w:eastAsia="Times New Roman" w:hAnsi="GT Walsheim Pro Regular" w:cs="Times New Roman"/>
          <w:color w:val="000000"/>
          <w:kern w:val="0"/>
          <w14:ligatures w14:val="none"/>
        </w:rPr>
        <w:t>2007,</w:t>
      </w:r>
      <w:proofErr w:type="gramEnd"/>
      <w:r w:rsidRPr="00632F7F">
        <w:rPr>
          <w:rFonts w:ascii="GT Walsheim Pro Regular" w:eastAsia="Times New Roman" w:hAnsi="GT Walsheim Pro Regular" w:cs="Times New Roman"/>
          <w:color w:val="000000"/>
          <w:kern w:val="0"/>
          <w14:ligatures w14:val="none"/>
        </w:rPr>
        <w:t xml:space="preserve"> on the very same day the company first opened its doors.</w:t>
      </w:r>
    </w:p>
    <w:p w14:paraId="4679119F"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32F7F">
        <w:rPr>
          <w:rFonts w:ascii="GT Walsheim Pro Regular" w:eastAsia="Times New Roman" w:hAnsi="GT Walsheim Pro Regular" w:cs="Times New Roman"/>
          <w:color w:val="000000"/>
          <w:kern w:val="0"/>
          <w14:ligatures w14:val="none"/>
        </w:rPr>
        <w:t>After juggling various finance and operations roles, she was appointed VP of Mergers and Acquisitions in 2019 and VP of Financial Planning and Analysis in 2021. She was also appointed as a member of the Executive Management Committee in 2022 and VP of Human Resources in 2023.</w:t>
      </w:r>
    </w:p>
    <w:p w14:paraId="2DA5CC37"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32F7F">
        <w:rPr>
          <w:rFonts w:ascii="GT Walsheim Pro Regular" w:eastAsia="Times New Roman" w:hAnsi="GT Walsheim Pro Regular" w:cs="Times New Roman"/>
          <w:color w:val="000000"/>
          <w:kern w:val="0"/>
          <w14:ligatures w14:val="none"/>
        </w:rPr>
        <w:t>Over the past 15 years, Ms. Fournier has led or taken part in over 75 acquisitions and direct investment transactions. Her prior experience includes working with predominantly Quebec-based private equity firms operating in the technology, media, entertainment, and sustainable transportation sectors.</w:t>
      </w:r>
    </w:p>
    <w:p w14:paraId="4C983073"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32F7F">
        <w:rPr>
          <w:rFonts w:ascii="GT Walsheim Pro Regular" w:eastAsia="Times New Roman" w:hAnsi="GT Walsheim Pro Regular" w:cs="Times New Roman"/>
          <w:color w:val="000000"/>
          <w:kern w:val="0"/>
          <w14:ligatures w14:val="none"/>
        </w:rPr>
        <w:t xml:space="preserve">Ms. Fournier holds a </w:t>
      </w:r>
      <w:proofErr w:type="gramStart"/>
      <w:r w:rsidRPr="00632F7F">
        <w:rPr>
          <w:rFonts w:ascii="GT Walsheim Pro Regular" w:eastAsia="Times New Roman" w:hAnsi="GT Walsheim Pro Regular" w:cs="Times New Roman"/>
          <w:color w:val="000000"/>
          <w:kern w:val="0"/>
          <w14:ligatures w14:val="none"/>
        </w:rPr>
        <w:t>Master’s degree in Economics</w:t>
      </w:r>
      <w:proofErr w:type="gramEnd"/>
      <w:r w:rsidRPr="00632F7F">
        <w:rPr>
          <w:rFonts w:ascii="GT Walsheim Pro Regular" w:eastAsia="Times New Roman" w:hAnsi="GT Walsheim Pro Regular" w:cs="Times New Roman"/>
          <w:color w:val="000000"/>
          <w:kern w:val="0"/>
          <w14:ligatures w14:val="none"/>
        </w:rPr>
        <w:t xml:space="preserve"> from the Université du Québec à Montréal (UQAM).</w:t>
      </w:r>
    </w:p>
    <w:p w14:paraId="47D1B989" w14:textId="6C6DC601" w:rsidR="00632F7F" w:rsidRPr="00632F7F" w:rsidRDefault="00632F7F">
      <w:pPr>
        <w:rPr>
          <w:rFonts w:ascii="GT Walsheim Pro Regular" w:hAnsi="GT Walsheim Pro Regular"/>
        </w:rPr>
      </w:pPr>
      <w:r w:rsidRPr="00632F7F">
        <w:rPr>
          <w:rFonts w:ascii="GT Walsheim Pro Regular" w:hAnsi="GT Walsheim Pro Regular"/>
        </w:rPr>
        <w:br w:type="page"/>
      </w:r>
    </w:p>
    <w:p w14:paraId="6DA7BDED" w14:textId="2B2BC82D" w:rsidR="00632F7F" w:rsidRPr="00632F7F" w:rsidRDefault="00632F7F" w:rsidP="00632F7F">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632F7F">
        <w:rPr>
          <w:rFonts w:ascii="GT Walsheim Pro Regular" w:eastAsia="Times New Roman" w:hAnsi="GT Walsheim Pro Regular" w:cs="Arial"/>
          <w:b/>
          <w:bCs/>
          <w:color w:val="000000"/>
          <w:kern w:val="0"/>
          <w:sz w:val="39"/>
          <w:szCs w:val="39"/>
          <w:lang w:val="fr-FR"/>
          <w14:ligatures w14:val="none"/>
        </w:rPr>
        <w:lastRenderedPageBreak/>
        <w:t>Marie-H</w:t>
      </w:r>
      <w:r w:rsidRPr="00632F7F">
        <w:rPr>
          <w:rFonts w:ascii="GT Walsheim Pro Regular" w:eastAsia="Times New Roman" w:hAnsi="GT Walsheim Pro Regular" w:cs="Arial"/>
          <w:b/>
          <w:bCs/>
          <w:color w:val="000000"/>
          <w:kern w:val="0"/>
          <w:sz w:val="39"/>
          <w:szCs w:val="39"/>
          <w:lang w:val="fr-FR"/>
          <w14:ligatures w14:val="none"/>
        </w:rPr>
        <w:t>é</w:t>
      </w:r>
      <w:r w:rsidRPr="00632F7F">
        <w:rPr>
          <w:rFonts w:ascii="GT Walsheim Pro Regular" w:eastAsia="Times New Roman" w:hAnsi="GT Walsheim Pro Regular" w:cs="Arial"/>
          <w:b/>
          <w:bCs/>
          <w:color w:val="000000"/>
          <w:kern w:val="0"/>
          <w:sz w:val="39"/>
          <w:szCs w:val="39"/>
          <w:lang w:val="fr-FR"/>
          <w14:ligatures w14:val="none"/>
        </w:rPr>
        <w:t>l</w:t>
      </w:r>
      <w:r w:rsidRPr="00632F7F">
        <w:rPr>
          <w:rFonts w:ascii="GT Walsheim Pro Regular" w:eastAsia="Times New Roman" w:hAnsi="GT Walsheim Pro Regular" w:cs="Arial"/>
          <w:b/>
          <w:bCs/>
          <w:color w:val="000000"/>
          <w:kern w:val="0"/>
          <w:sz w:val="39"/>
          <w:szCs w:val="39"/>
          <w:lang w:val="fr-FR"/>
          <w14:ligatures w14:val="none"/>
        </w:rPr>
        <w:t>è</w:t>
      </w:r>
      <w:r w:rsidRPr="00632F7F">
        <w:rPr>
          <w:rFonts w:ascii="GT Walsheim Pro Regular" w:eastAsia="Times New Roman" w:hAnsi="GT Walsheim Pro Regular" w:cs="Arial"/>
          <w:b/>
          <w:bCs/>
          <w:color w:val="000000"/>
          <w:kern w:val="0"/>
          <w:sz w:val="39"/>
          <w:szCs w:val="39"/>
          <w:lang w:val="fr-FR"/>
          <w14:ligatures w14:val="none"/>
        </w:rPr>
        <w:t>ne Fournier</w:t>
      </w:r>
    </w:p>
    <w:p w14:paraId="572E0D28" w14:textId="77777777" w:rsidR="00632F7F" w:rsidRPr="00632F7F" w:rsidRDefault="00632F7F" w:rsidP="00632F7F">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632F7F">
        <w:rPr>
          <w:rFonts w:ascii="GT Walsheim Pro Regular" w:eastAsia="Times New Roman" w:hAnsi="GT Walsheim Pro Regular" w:cs="Arial"/>
          <w:b/>
          <w:bCs/>
          <w:color w:val="0070E0"/>
          <w:kern w:val="0"/>
          <w:sz w:val="33"/>
          <w:szCs w:val="33"/>
          <w:lang w:val="fr-FR"/>
          <w14:ligatures w14:val="none"/>
        </w:rPr>
        <w:t>Vice-présidente, Fusions &amp; acquisitions, ressources humaines et relations investisseurs</w:t>
      </w:r>
    </w:p>
    <w:p w14:paraId="1CBB8C21"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32F7F">
        <w:rPr>
          <w:rFonts w:ascii="GT Walsheim Pro Regular" w:eastAsia="Times New Roman" w:hAnsi="GT Walsheim Pro Regular" w:cs="Times New Roman"/>
          <w:color w:val="000000"/>
          <w:kern w:val="0"/>
          <w:lang w:val="fr-FR"/>
          <w14:ligatures w14:val="none"/>
        </w:rPr>
        <w:t>Marie-Hélène Fournier a débuté sa carrière chez Stingray en 2007, le jour même où l’entreprise a ouvert ses portes.</w:t>
      </w:r>
    </w:p>
    <w:p w14:paraId="61FB843C"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32F7F">
        <w:rPr>
          <w:rFonts w:ascii="GT Walsheim Pro Regular" w:eastAsia="Times New Roman" w:hAnsi="GT Walsheim Pro Regular" w:cs="Times New Roman"/>
          <w:color w:val="000000"/>
          <w:kern w:val="0"/>
          <w:lang w:val="fr-FR"/>
          <w14:ligatures w14:val="none"/>
        </w:rPr>
        <w:t>Après avoir occupé différents postes dans les secteurs de la finance et des opérations, elle a été nommée vice-présidente des fusions et acquisitions en 2019, puis vice-présidente de la planification et de l’analyse financière en 2021. Elle a également été nommée membre du comité de haute direction en 2022, et vice-présidente des ressources humaines en 2023.</w:t>
      </w:r>
    </w:p>
    <w:p w14:paraId="090CDF1F"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32F7F">
        <w:rPr>
          <w:rFonts w:ascii="GT Walsheim Pro Regular" w:eastAsia="Times New Roman" w:hAnsi="GT Walsheim Pro Regular" w:cs="Times New Roman"/>
          <w:color w:val="000000"/>
          <w:kern w:val="0"/>
          <w:lang w:val="fr-FR"/>
          <w14:ligatures w14:val="none"/>
        </w:rPr>
        <w:t>Au cours des 15 dernières années, Mme Fournier a contribué à plus de 75 acquisitions et transactions d’investissement. Par le passé, elle a travaillé pour le compte de divers fonds d’investissement, principalement québécois, des secteurs de la technologie, des médias, du divertissement et du transport durable.</w:t>
      </w:r>
    </w:p>
    <w:p w14:paraId="4DD85C43" w14:textId="77777777" w:rsidR="00632F7F" w:rsidRPr="00632F7F" w:rsidRDefault="00632F7F" w:rsidP="00632F7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32F7F">
        <w:rPr>
          <w:rFonts w:ascii="GT Walsheim Pro Regular" w:eastAsia="Times New Roman" w:hAnsi="GT Walsheim Pro Regular" w:cs="Times New Roman"/>
          <w:color w:val="000000"/>
          <w:kern w:val="0"/>
          <w:lang w:val="fr-FR"/>
          <w14:ligatures w14:val="none"/>
        </w:rPr>
        <w:t>Mme Fournier est titulaire d’une maîtrise en économie de l’Université du Québec à Montréal (UQAM).</w:t>
      </w:r>
    </w:p>
    <w:p w14:paraId="4A51FBEA" w14:textId="77777777" w:rsidR="00027E79" w:rsidRPr="00632F7F" w:rsidRDefault="00027E79">
      <w:pPr>
        <w:rPr>
          <w:rFonts w:ascii="GT Walsheim Pro Regular" w:hAnsi="GT Walsheim Pro Regular"/>
          <w:lang w:val="fr-FR"/>
        </w:rPr>
      </w:pPr>
    </w:p>
    <w:sectPr w:rsidR="00027E79" w:rsidRPr="00632F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F7F"/>
    <w:rsid w:val="00027E79"/>
    <w:rsid w:val="003761C9"/>
    <w:rsid w:val="00632F7F"/>
    <w:rsid w:val="007B69FE"/>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987C9"/>
  <w15:chartTrackingRefBased/>
  <w15:docId w15:val="{42EF941A-E3BB-A14F-A171-25229A3D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2F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2F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2F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2F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2F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2F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2F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2F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2F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F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2F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2F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2F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2F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2F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2F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2F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2F7F"/>
    <w:rPr>
      <w:rFonts w:eastAsiaTheme="majorEastAsia" w:cstheme="majorBidi"/>
      <w:color w:val="272727" w:themeColor="text1" w:themeTint="D8"/>
    </w:rPr>
  </w:style>
  <w:style w:type="paragraph" w:styleId="Title">
    <w:name w:val="Title"/>
    <w:basedOn w:val="Normal"/>
    <w:next w:val="Normal"/>
    <w:link w:val="TitleChar"/>
    <w:uiPriority w:val="10"/>
    <w:qFormat/>
    <w:rsid w:val="00632F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F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F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2F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2F7F"/>
    <w:pPr>
      <w:spacing w:before="160"/>
      <w:jc w:val="center"/>
    </w:pPr>
    <w:rPr>
      <w:i/>
      <w:iCs/>
      <w:color w:val="404040" w:themeColor="text1" w:themeTint="BF"/>
    </w:rPr>
  </w:style>
  <w:style w:type="character" w:customStyle="1" w:styleId="QuoteChar">
    <w:name w:val="Quote Char"/>
    <w:basedOn w:val="DefaultParagraphFont"/>
    <w:link w:val="Quote"/>
    <w:uiPriority w:val="29"/>
    <w:rsid w:val="00632F7F"/>
    <w:rPr>
      <w:i/>
      <w:iCs/>
      <w:color w:val="404040" w:themeColor="text1" w:themeTint="BF"/>
    </w:rPr>
  </w:style>
  <w:style w:type="paragraph" w:styleId="ListParagraph">
    <w:name w:val="List Paragraph"/>
    <w:basedOn w:val="Normal"/>
    <w:uiPriority w:val="34"/>
    <w:qFormat/>
    <w:rsid w:val="00632F7F"/>
    <w:pPr>
      <w:ind w:left="720"/>
      <w:contextualSpacing/>
    </w:pPr>
  </w:style>
  <w:style w:type="character" w:styleId="IntenseEmphasis">
    <w:name w:val="Intense Emphasis"/>
    <w:basedOn w:val="DefaultParagraphFont"/>
    <w:uiPriority w:val="21"/>
    <w:qFormat/>
    <w:rsid w:val="00632F7F"/>
    <w:rPr>
      <w:i/>
      <w:iCs/>
      <w:color w:val="0F4761" w:themeColor="accent1" w:themeShade="BF"/>
    </w:rPr>
  </w:style>
  <w:style w:type="paragraph" w:styleId="IntenseQuote">
    <w:name w:val="Intense Quote"/>
    <w:basedOn w:val="Normal"/>
    <w:next w:val="Normal"/>
    <w:link w:val="IntenseQuoteChar"/>
    <w:uiPriority w:val="30"/>
    <w:qFormat/>
    <w:rsid w:val="00632F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2F7F"/>
    <w:rPr>
      <w:i/>
      <w:iCs/>
      <w:color w:val="0F4761" w:themeColor="accent1" w:themeShade="BF"/>
    </w:rPr>
  </w:style>
  <w:style w:type="character" w:styleId="IntenseReference">
    <w:name w:val="Intense Reference"/>
    <w:basedOn w:val="DefaultParagraphFont"/>
    <w:uiPriority w:val="32"/>
    <w:qFormat/>
    <w:rsid w:val="00632F7F"/>
    <w:rPr>
      <w:b/>
      <w:bCs/>
      <w:smallCaps/>
      <w:color w:val="0F4761" w:themeColor="accent1" w:themeShade="BF"/>
      <w:spacing w:val="5"/>
    </w:rPr>
  </w:style>
  <w:style w:type="paragraph" w:styleId="NormalWeb">
    <w:name w:val="Normal (Web)"/>
    <w:basedOn w:val="Normal"/>
    <w:uiPriority w:val="99"/>
    <w:semiHidden/>
    <w:unhideWhenUsed/>
    <w:rsid w:val="00632F7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2025-11-07T16:58:00Z</dcterms:created>
  <dcterms:modified xsi:type="dcterms:W3CDTF">2025-11-07T17:00:00Z</dcterms:modified>
</cp:coreProperties>
</file>